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pPr>
              <w:spacing w:after="0" w:line="240" w:lineRule="auto"/>
              <w:jc w:val="center"/>
              <w:rPr>
                <w:rFonts w:ascii="Calibri" w:eastAsia="Times New Roman" w:hAnsi="Calibri" w:cs="Calibri"/>
                <w:b/>
                <w:bCs/>
                <w:color w:val="FFFFFF"/>
                <w:lang w:eastAsia="sk-SK"/>
              </w:rPr>
            </w:pPr>
            <w:bookmarkStart w:id="0" w:name="_GoBack"/>
            <w:bookmarkEnd w:id="0"/>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trPr>
          <w:trHeight w:val="450"/>
        </w:trPr>
        <w:tc>
          <w:tcPr>
            <w:tcW w:w="10168" w:type="dxa"/>
            <w:gridSpan w:val="3"/>
            <w:vMerge/>
            <w:tcBorders>
              <w:top w:val="nil"/>
              <w:left w:val="nil"/>
              <w:bottom w:val="nil"/>
              <w:right w:val="nil"/>
            </w:tcBorders>
            <w:vAlign w:val="center"/>
          </w:tcPr>
          <w:p>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pPr>
              <w:spacing w:after="0" w:line="240" w:lineRule="auto"/>
              <w:jc w:val="center"/>
              <w:rPr>
                <w:rFonts w:ascii="Calibri" w:eastAsia="Times New Roman" w:hAnsi="Calibri" w:cs="Calibri"/>
                <w:b/>
                <w:bCs/>
                <w:color w:val="FFFFFF"/>
                <w:lang w:eastAsia="sk-SK"/>
              </w:rPr>
            </w:pPr>
          </w:p>
        </w:tc>
      </w:tr>
      <w:tr>
        <w:trPr>
          <w:trHeight w:val="60"/>
        </w:trPr>
        <w:tc>
          <w:tcPr>
            <w:tcW w:w="667"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pPr>
              <w:spacing w:after="0" w:line="240" w:lineRule="auto"/>
              <w:rPr>
                <w:rFonts w:ascii="Times New Roman" w:eastAsia="Times New Roman" w:hAnsi="Times New Roman" w:cs="Times New Roman"/>
                <w:sz w:val="20"/>
                <w:szCs w:val="20"/>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75"/>
        </w:trPr>
        <w:tc>
          <w:tcPr>
            <w:tcW w:w="10168" w:type="dxa"/>
            <w:gridSpan w:val="3"/>
            <w:vMerge w:val="restart"/>
            <w:tcBorders>
              <w:top w:val="nil"/>
              <w:left w:val="nil"/>
              <w:bottom w:val="nil"/>
              <w:right w:val="nil"/>
            </w:tcBorders>
            <w:shd w:val="clear" w:color="auto" w:fill="auto"/>
            <w:vAlign w:val="bottom"/>
          </w:tcPr>
          <w:p>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75"/>
        </w:trPr>
        <w:tc>
          <w:tcPr>
            <w:tcW w:w="10168" w:type="dxa"/>
            <w:gridSpan w:val="3"/>
            <w:vMerge/>
            <w:tcBorders>
              <w:top w:val="nil"/>
              <w:left w:val="nil"/>
              <w:bottom w:val="nil"/>
              <w:right w:val="nil"/>
            </w:tcBorders>
            <w:vAlign w:val="center"/>
          </w:tcPr>
          <w:p>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pPr>
              <w:spacing w:after="0" w:line="240" w:lineRule="auto"/>
              <w:rPr>
                <w:rFonts w:ascii="Calibri" w:eastAsia="Times New Roman" w:hAnsi="Calibri" w:cs="Calibri"/>
                <w:i/>
                <w:iCs/>
                <w:color w:val="2F5597"/>
                <w:sz w:val="16"/>
                <w:szCs w:val="16"/>
                <w:lang w:eastAsia="sk-SK"/>
              </w:rPr>
            </w:pPr>
          </w:p>
        </w:tc>
      </w:tr>
      <w:tr>
        <w:trPr>
          <w:trHeight w:val="90"/>
        </w:trPr>
        <w:tc>
          <w:tcPr>
            <w:tcW w:w="667"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pPr>
              <w:spacing w:after="0" w:line="240" w:lineRule="auto"/>
              <w:rPr>
                <w:rFonts w:ascii="Times New Roman" w:eastAsia="Times New Roman" w:hAnsi="Times New Roman" w:cs="Times New Roman"/>
                <w:sz w:val="20"/>
                <w:szCs w:val="20"/>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45"/>
        </w:trPr>
        <w:tc>
          <w:tcPr>
            <w:tcW w:w="667"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pPr>
              <w:spacing w:after="0" w:line="240" w:lineRule="auto"/>
              <w:rPr>
                <w:rFonts w:ascii="Calibri" w:eastAsia="Times New Roman" w:hAnsi="Calibri" w:cs="Calibri"/>
                <w:sz w:val="16"/>
                <w:szCs w:val="16"/>
                <w:lang w:eastAsia="sk-SK"/>
              </w:rPr>
            </w:pPr>
            <w:hyperlink r:id="rId8" w:anchor="'poznamky_explanatory notes'!A1" w:history="1">
              <w:r>
                <w:rPr>
                  <w:rFonts w:ascii="Calibri" w:eastAsia="Times New Roman" w:hAnsi="Calibri" w:cs="Calibri"/>
                  <w:sz w:val="16"/>
                  <w:szCs w:val="16"/>
                  <w:lang w:eastAsia="sk-SK"/>
                </w:rPr>
                <w:t xml:space="preserve">ID konania/ID of the procedure: </w:t>
              </w:r>
              <w:r>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45"/>
        </w:trPr>
        <w:tc>
          <w:tcPr>
            <w:tcW w:w="667" w:type="dxa"/>
            <w:tcBorders>
              <w:top w:val="nil"/>
              <w:left w:val="nil"/>
              <w:bottom w:val="nil"/>
              <w:right w:val="nil"/>
            </w:tcBorders>
            <w:shd w:val="clear" w:color="auto" w:fill="auto"/>
            <w:vAlign w:val="center"/>
          </w:tcPr>
          <w:p>
            <w:pPr>
              <w:spacing w:after="0" w:line="240" w:lineRule="auto"/>
              <w:rPr>
                <w:rFonts w:ascii="Calibri" w:eastAsia="Times New Roman" w:hAnsi="Calibri" w:cs="Calibri"/>
                <w:color w:val="000000"/>
                <w:sz w:val="16"/>
                <w:szCs w:val="16"/>
                <w:lang w:eastAsia="sk-SK"/>
              </w:rPr>
            </w:pPr>
          </w:p>
        </w:tc>
        <w:bookmarkStart w:id="1"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1"/>
          </w:p>
        </w:tc>
        <w:tc>
          <w:tcPr>
            <w:tcW w:w="5122" w:type="dxa"/>
            <w:tcBorders>
              <w:top w:val="nil"/>
              <w:left w:val="nil"/>
              <w:bottom w:val="single" w:sz="8" w:space="0" w:color="2F5597"/>
              <w:right w:val="single" w:sz="8" w:space="0" w:color="2F5597"/>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405"/>
        </w:trPr>
        <w:tc>
          <w:tcPr>
            <w:tcW w:w="667" w:type="dxa"/>
            <w:tcBorders>
              <w:top w:val="nil"/>
              <w:left w:val="nil"/>
              <w:bottom w:val="nil"/>
              <w:right w:val="nil"/>
            </w:tcBorders>
            <w:shd w:val="clear" w:color="auto" w:fill="auto"/>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pPr>
              <w:spacing w:after="0" w:line="240" w:lineRule="auto"/>
              <w:rPr>
                <w:rFonts w:ascii="Times New Roman" w:eastAsia="Times New Roman" w:hAnsi="Times New Roman" w:cs="Times New Roman"/>
                <w:sz w:val="20"/>
                <w:szCs w:val="20"/>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9" w:anchor="'poznamky_explanatory notes'!A1" w:history="1">
              <w:r>
                <w:rPr>
                  <w:rFonts w:ascii="Calibri" w:eastAsia="Times New Roman" w:hAnsi="Calibri" w:cs="Calibri"/>
                  <w:sz w:val="16"/>
                  <w:szCs w:val="16"/>
                  <w:lang w:eastAsia="sk-SK"/>
                </w:rPr>
                <w:t xml:space="preserve">OCA1. Priezvisko hodnotenej osoby / Surname awarded to the assessed person </w:t>
              </w:r>
              <w:r>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Mlynarčík</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pPr>
              <w:spacing w:after="0" w:line="240" w:lineRule="auto"/>
              <w:rPr>
                <w:rFonts w:ascii="Calibri" w:eastAsia="Times New Roman" w:hAnsi="Calibri" w:cs="Calibri"/>
                <w:sz w:val="16"/>
                <w:szCs w:val="16"/>
                <w:lang w:eastAsia="sk-SK"/>
              </w:rPr>
            </w:pPr>
            <w:hyperlink r:id="rId10" w:anchor="'poznamky_explanatory notes'!A1" w:history="1">
              <w:r>
                <w:rPr>
                  <w:rFonts w:ascii="Calibri" w:eastAsia="Times New Roman" w:hAnsi="Calibri" w:cs="Calibri"/>
                  <w:sz w:val="16"/>
                  <w:szCs w:val="16"/>
                  <w:lang w:eastAsia="sk-SK"/>
                </w:rPr>
                <w:t xml:space="preserve">OCA2. Meno hodnotenej osoby / Name awarded to the assessed person </w:t>
              </w:r>
              <w:r>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Peter</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pPr>
              <w:spacing w:after="0" w:line="240" w:lineRule="auto"/>
              <w:rPr>
                <w:rFonts w:ascii="Calibri" w:eastAsia="Times New Roman" w:hAnsi="Calibri" w:cs="Calibri"/>
                <w:sz w:val="16"/>
                <w:szCs w:val="16"/>
                <w:lang w:eastAsia="sk-SK"/>
              </w:rPr>
            </w:pPr>
            <w:hyperlink r:id="rId11" w:anchor="'poznamky_explanatory notes'!A1" w:history="1">
              <w:r>
                <w:rPr>
                  <w:rFonts w:ascii="Calibri" w:eastAsia="Times New Roman" w:hAnsi="Calibri" w:cs="Calibri"/>
                  <w:sz w:val="16"/>
                  <w:szCs w:val="16"/>
                  <w:lang w:eastAsia="sk-SK"/>
                </w:rPr>
                <w:t xml:space="preserve">OCA3. Tituly hodnotenej osoby / Degrees awarded to the assessed person </w:t>
              </w:r>
              <w:r>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Doc. PhLic., PhD.</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2" w:anchor="'poznamky_explanatory notes'!A1" w:history="1">
              <w:r>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hyperlink r:id="rId13" w:history="1">
              <w:r>
                <w:rPr>
                  <w:rStyle w:val="Hypertextovprepojenie"/>
                  <w:rFonts w:ascii="Calibri" w:eastAsia="Times New Roman" w:hAnsi="Calibri"/>
                  <w:sz w:val="16"/>
                  <w:szCs w:val="16"/>
                  <w:lang w:eastAsia="sk-SK"/>
                </w:rPr>
                <w:t>https://www.portalvs.sk/regzam/detail/12319</w:t>
              </w:r>
            </w:hyperlink>
            <w:r>
              <w:rPr>
                <w:rFonts w:ascii="Calibri" w:eastAsia="Times New Roman" w:hAnsi="Calibri"/>
                <w:color w:val="000000"/>
                <w:sz w:val="16"/>
                <w:szCs w:val="16"/>
                <w:lang w:eastAsia="sk-SK"/>
              </w:rPr>
              <w:t xml:space="preserve">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4" w:anchor="'poznamky_explanatory notes'!A1" w:history="1">
              <w:r>
                <w:rPr>
                  <w:rFonts w:ascii="Calibri" w:eastAsia="Times New Roman" w:hAnsi="Calibri" w:cs="Calibri"/>
                  <w:sz w:val="16"/>
                  <w:szCs w:val="16"/>
                  <w:lang w:eastAsia="sk-SK"/>
                </w:rPr>
                <w:t xml:space="preserve">OCA5. Oblasť posudzovania / Area of assessment </w:t>
              </w:r>
              <w:r>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Sociálna práca I. a II. stupeň/ Social work I and II degree</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5" w:anchor="Expl.OCA6!A1" w:history="1">
              <w:r>
                <w:rPr>
                  <w:rFonts w:ascii="Calibri" w:eastAsia="Times New Roman" w:hAnsi="Calibri" w:cs="Calibri"/>
                  <w:sz w:val="16"/>
                  <w:szCs w:val="16"/>
                  <w:lang w:eastAsia="sk-SK"/>
                </w:rPr>
                <w:t xml:space="preserve">OCA6. Kategória výstupu tvorivej činnosti / Category of the research/ artistic/other output </w:t>
              </w:r>
              <w:r>
                <w:rPr>
                  <w:rFonts w:ascii="Calibri" w:eastAsia="Times New Roman" w:hAnsi="Calibri" w:cs="Calibri"/>
                  <w:sz w:val="16"/>
                  <w:szCs w:val="16"/>
                  <w:lang w:eastAsia="sk-SK"/>
                </w:rPr>
                <w:br/>
              </w:r>
              <w:r>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cstheme="minorHAnsi"/>
                <w:bCs/>
                <w:sz w:val="16"/>
              </w:rPr>
            </w:pPr>
            <w:r>
              <w:rPr>
                <w:rFonts w:ascii="Calibri" w:eastAsia="Times New Roman" w:hAnsi="Calibri" w:cs="Calibri"/>
                <w:i/>
                <w:iCs/>
                <w:color w:val="000000"/>
                <w:sz w:val="16"/>
                <w:szCs w:val="16"/>
                <w:lang w:eastAsia="sk-SK"/>
              </w:rPr>
              <w:t> </w:t>
            </w:r>
            <w:r>
              <w:rPr>
                <w:sz w:val="16"/>
                <w:szCs w:val="16"/>
              </w:rPr>
              <w:t xml:space="preserve">vedecký výstup / </w:t>
            </w:r>
            <w:r>
              <w:rPr>
                <w:sz w:val="16"/>
                <w:szCs w:val="16"/>
                <w:lang w:val="en-GB"/>
              </w:rPr>
              <w:t xml:space="preserve">scientific </w:t>
            </w:r>
            <w:r>
              <w:rPr>
                <w:rFonts w:cstheme="minorHAnsi"/>
                <w:bCs/>
                <w:sz w:val="16"/>
                <w:lang w:val="en-GB"/>
              </w:rPr>
              <w:t>output</w:t>
            </w:r>
          </w:p>
          <w:p>
            <w:pPr>
              <w:pStyle w:val="Normlny1"/>
              <w:rPr>
                <w:rFonts w:ascii="Calibri" w:hAnsi="Calibri" w:cs="Calibri"/>
                <w:sz w:val="16"/>
                <w:szCs w:val="16"/>
              </w:rPr>
            </w:pPr>
          </w:p>
          <w:p>
            <w:pPr>
              <w:pStyle w:val="Normlny1"/>
              <w:rPr>
                <w:rFonts w:ascii="Calibri" w:eastAsia="Times New Roman" w:hAnsi="Calibri" w:cs="Calibri"/>
                <w:i/>
                <w:iCs/>
                <w:color w:val="000000"/>
                <w:sz w:val="16"/>
                <w:szCs w:val="16"/>
              </w:rPr>
            </w:pPr>
            <w:r>
              <w:rPr>
                <w:rFonts w:ascii="Calibri" w:hAnsi="Calibri" w:cs="Calibri"/>
                <w:sz w:val="16"/>
                <w:szCs w:val="16"/>
              </w:rPr>
              <w:t xml:space="preserve">MLYNARČÍK, P.:  </w:t>
            </w:r>
            <w:r>
              <w:rPr>
                <w:rFonts w:ascii="Calibri" w:hAnsi="Calibri" w:cs="Calibri"/>
                <w:sz w:val="16"/>
                <w:szCs w:val="16"/>
                <w:lang w:val="en-GB"/>
              </w:rPr>
              <w:t>A Brief History of Human Rights Education: Contribution of the Salesians of Don Bosco in: Journal of Human Dignity and Wellbeing, 1 (2016), s. 39-52, ISSN 2451-3520. – 0,7 AH</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2016</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6" w:anchor="'poznamky_explanatory notes'!A1" w:history="1">
              <w:r>
                <w:rPr>
                  <w:rFonts w:ascii="Calibri" w:eastAsia="Times New Roman" w:hAnsi="Calibri" w:cs="Calibri"/>
                  <w:sz w:val="16"/>
                  <w:szCs w:val="16"/>
                  <w:lang w:eastAsia="sk-SK"/>
                </w:rPr>
                <w:t xml:space="preserve">OCA8. ID záznamu v CREPČ alebo CREUČ </w:t>
              </w:r>
              <w:r>
                <w:rPr>
                  <w:rFonts w:ascii="Calibri" w:eastAsia="Times New Roman" w:hAnsi="Calibri" w:cs="Calibri"/>
                  <w:i/>
                  <w:iCs/>
                  <w:sz w:val="16"/>
                  <w:szCs w:val="16"/>
                  <w:lang w:eastAsia="sk-SK"/>
                </w:rPr>
                <w:t>(ak je)</w:t>
              </w:r>
              <w:r>
                <w:rPr>
                  <w:rFonts w:ascii="Calibri" w:eastAsia="Times New Roman" w:hAnsi="Calibri" w:cs="Calibri"/>
                  <w:sz w:val="16"/>
                  <w:szCs w:val="16"/>
                  <w:lang w:eastAsia="sk-SK"/>
                </w:rPr>
                <w:t xml:space="preserve"> / ID of the record in the Central Registry of Publication Activity (CRPA) or the Central Registry of Artistic Activity (CRAA) </w:t>
              </w:r>
              <w:r>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7" w:anchor="'poznamky_explanatory notes'!A1" w:history="1">
              <w:r>
                <w:rPr>
                  <w:rFonts w:ascii="Calibri" w:eastAsia="Times New Roman" w:hAnsi="Calibri" w:cs="Calibri"/>
                  <w:sz w:val="16"/>
                  <w:szCs w:val="16"/>
                  <w:lang w:eastAsia="sk-SK"/>
                </w:rPr>
                <w:t xml:space="preserve">OCA9. Hyperlink na záznam v CREPČ alebo CREUČ / Hyperlink to the record in CRPA or CRAA </w:t>
              </w:r>
              <w:r>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8" w:anchor="'poznamky_explanatory notes'!A1" w:history="1">
              <w:r>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ind w:left="160" w:hangingChars="100" w:hanging="160"/>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w:t>
            </w:r>
          </w:p>
          <w:p>
            <w:pPr>
              <w:spacing w:after="0" w:line="240" w:lineRule="auto"/>
              <w:ind w:left="80" w:hangingChars="100" w:hanging="80"/>
              <w:rPr>
                <w:rFonts w:ascii="Calibri" w:eastAsia="Times New Roman" w:hAnsi="Calibri" w:cs="Calibri"/>
                <w:color w:val="000000"/>
                <w:sz w:val="8"/>
                <w:szCs w:val="8"/>
                <w:lang w:eastAsia="sk-SK"/>
              </w:rPr>
            </w:pPr>
            <w:r>
              <w:rPr>
                <w:rFonts w:ascii="Calibri" w:eastAsia="Times New Roman" w:hAnsi="Calibri" w:cs="Calibri"/>
                <w:color w:val="000000"/>
                <w:sz w:val="8"/>
                <w:szCs w:val="8"/>
                <w:lang w:eastAsia="sk-SK"/>
              </w:rPr>
              <w:t xml:space="preserve">https://www.academia.edu/45005995/A_BRIEF_HISTORY_OF_HUMAN_RIGHTS_EDUCATION_CONTRIBUTION_OF_THE_SALESIANS_OF_DON_BOSCO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515"/>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hAnsi="Calibri" w:cs="Calibri"/>
                <w:sz w:val="16"/>
                <w:szCs w:val="16"/>
              </w:rPr>
              <w:t xml:space="preserve">MLYNARČÍK, P.:  </w:t>
            </w:r>
            <w:r>
              <w:rPr>
                <w:rFonts w:ascii="Calibri" w:hAnsi="Calibri" w:cs="Calibri"/>
                <w:sz w:val="16"/>
                <w:szCs w:val="16"/>
                <w:lang w:val="en-GB"/>
              </w:rPr>
              <w:t>A Brief History of Human Rights Education: Contribution of the Salesians of Don Bosco in: Journal of Human Dignity and Wellbeing, 1 (2016), s. 39-52, ISSN 2451-3520.</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290"/>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9" w:anchor="Expl.OCA12!A1" w:history="1">
              <w:r>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Pr>
                  <w:rFonts w:ascii="Calibri" w:eastAsia="Times New Roman" w:hAnsi="Calibri" w:cs="Calibri"/>
                  <w:sz w:val="16"/>
                  <w:szCs w:val="16"/>
                  <w:lang w:eastAsia="sk-SK"/>
                </w:rPr>
                <w:br/>
              </w:r>
              <w:r>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pPr>
              <w:pStyle w:val="Textpoznmkypodiarou"/>
              <w:rPr>
                <w:sz w:val="16"/>
                <w:szCs w:val="16"/>
              </w:rPr>
            </w:pPr>
            <w:r>
              <w:rPr>
                <w:sz w:val="16"/>
                <w:szCs w:val="16"/>
              </w:rPr>
              <w:t xml:space="preserve">Vedecký článok / </w:t>
            </w:r>
            <w:r>
              <w:rPr>
                <w:sz w:val="16"/>
                <w:szCs w:val="16"/>
                <w:lang w:val="en-GB"/>
              </w:rPr>
              <w:t>scientific article</w:t>
            </w:r>
          </w:p>
          <w:p>
            <w:pPr>
              <w:spacing w:after="0" w:line="240" w:lineRule="auto"/>
              <w:rPr>
                <w:rFonts w:ascii="Calibri" w:eastAsia="Times New Roman" w:hAnsi="Calibri" w:cs="Calibri"/>
                <w:i/>
                <w:iCs/>
                <w:color w:val="000000"/>
                <w:sz w:val="16"/>
                <w:szCs w:val="16"/>
                <w:lang w:val="en-GB"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110"/>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pPr>
              <w:spacing w:after="0" w:line="240" w:lineRule="auto"/>
              <w:rPr>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765"/>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pPr>
              <w:pStyle w:val="Predformtovan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 xml:space="preserve">podiel autora  Mlynarčík </w:t>
            </w:r>
            <w:r>
              <w:rPr>
                <w:rFonts w:ascii="Calibri" w:hAnsi="Calibri" w:cs="Calibri"/>
                <w:sz w:val="16"/>
                <w:szCs w:val="16"/>
              </w:rPr>
              <w:t>100%</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r>
              <w:rPr>
                <w:rFonts w:ascii="Calibri" w:hAnsi="Calibri" w:cs="Calibri"/>
                <w:color w:val="000000"/>
                <w:sz w:val="16"/>
                <w:szCs w:val="16"/>
                <w:lang w:val="en-US"/>
              </w:rPr>
              <w:t xml:space="preserve">Mlynarčík </w:t>
            </w:r>
            <w:r>
              <w:rPr>
                <w:rFonts w:ascii="Calibri" w:hAnsi="Calibri" w:cs="Calibri"/>
                <w:sz w:val="16"/>
                <w:szCs w:val="16"/>
              </w:rPr>
              <w:t>100%</w:t>
            </w:r>
          </w:p>
          <w:p>
            <w:pPr>
              <w:spacing w:after="0" w:line="240" w:lineRule="auto"/>
              <w:rPr>
                <w:rFonts w:ascii="Calibri" w:eastAsia="Times New Roman" w:hAnsi="Calibri" w:cs="Calibri"/>
                <w:color w:val="000000"/>
                <w:sz w:val="16"/>
                <w:szCs w:val="16"/>
                <w:lang w:val="en-US"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965"/>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pPr>
              <w:spacing w:after="0" w:line="240" w:lineRule="auto"/>
              <w:rPr>
                <w:rFonts w:ascii="Calibri" w:eastAsia="Times New Roman" w:hAnsi="Calibri" w:cs="Calibri"/>
                <w:sz w:val="16"/>
                <w:szCs w:val="16"/>
                <w:lang w:eastAsia="sk-SK"/>
              </w:rPr>
            </w:pPr>
            <w:hyperlink r:id="rId20" w:anchor="'poznamky_explanatory notes'!A1" w:history="1">
              <w:r>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Pr>
                  <w:rFonts w:ascii="Calibri" w:eastAsia="Times New Roman" w:hAnsi="Calibri" w:cs="Calibri"/>
                  <w:sz w:val="16"/>
                  <w:szCs w:val="16"/>
                  <w:vertAlign w:val="superscript"/>
                  <w:lang w:eastAsia="sk-SK"/>
                </w:rPr>
                <w:t>8</w:t>
              </w:r>
              <w:r>
                <w:rPr>
                  <w:rFonts w:ascii="Calibri" w:eastAsia="Times New Roman" w:hAnsi="Calibri" w:cs="Calibri"/>
                  <w:sz w:val="16"/>
                  <w:szCs w:val="16"/>
                  <w:lang w:eastAsia="sk-SK"/>
                </w:rPr>
                <w:br w:type="page"/>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themeColor="text1"/>
                <w:sz w:val="16"/>
                <w:szCs w:val="16"/>
                <w:lang w:eastAsia="sk-SK"/>
              </w:rPr>
            </w:pPr>
          </w:p>
          <w:p>
            <w:pPr>
              <w:spacing w:after="0" w:line="240" w:lineRule="auto"/>
              <w:rPr>
                <w:rFonts w:ascii="Calibri" w:eastAsia="Times New Roman" w:hAnsi="Calibri" w:cs="Calibri"/>
                <w:color w:val="000000" w:themeColor="text1"/>
                <w:sz w:val="16"/>
                <w:szCs w:val="16"/>
                <w:lang w:eastAsia="sk-SK"/>
              </w:rPr>
            </w:pPr>
          </w:p>
          <w:p>
            <w:pPr>
              <w:spacing w:after="0" w:line="240" w:lineRule="auto"/>
              <w:rPr>
                <w:rFonts w:ascii="Calibri" w:eastAsia="Times New Roman" w:hAnsi="Calibri" w:cs="Calibri"/>
                <w:color w:val="000000" w:themeColor="text1"/>
                <w:sz w:val="16"/>
                <w:szCs w:val="16"/>
                <w:lang w:eastAsia="sk-SK"/>
              </w:rPr>
            </w:pPr>
            <w:r>
              <w:rPr>
                <w:rFonts w:ascii="Calibri" w:eastAsia="Times New Roman" w:hAnsi="Calibri" w:cs="Calibri"/>
                <w:color w:val="000000" w:themeColor="text1"/>
                <w:sz w:val="16"/>
                <w:szCs w:val="16"/>
                <w:lang w:eastAsia="sk-SK"/>
              </w:rPr>
              <w:t xml:space="preserve">Podiel autora spočíva vo výskume a v spracovaní dát do článku o výchove k ľudským právam a dejinnom vývoji tohto fenoménu. Počnúc medzinárodných organizácií UNICEF a OSN až po sieť projektov Saleziánov don Bosca. / </w:t>
            </w:r>
            <w:r>
              <w:rPr>
                <w:rFonts w:ascii="Calibri" w:hAnsi="Calibri" w:cs="Calibri"/>
                <w:color w:val="000000" w:themeColor="text1"/>
                <w:sz w:val="16"/>
                <w:szCs w:val="16"/>
                <w:shd w:val="clear" w:color="auto" w:fill="F8F9FA"/>
                <w:lang w:val="en-GB"/>
              </w:rPr>
              <w:t>The author's contribution consists in research and data processing for the article on human rights education and the historical development of this phenomenon. Starting from the international organizations UNICEF and the UN to the network of projects of the Salesians of Don Bosco.</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pPr>
              <w:spacing w:after="0" w:line="240" w:lineRule="auto"/>
              <w:rPr>
                <w:rFonts w:ascii="Calibri" w:eastAsia="Times New Roman" w:hAnsi="Calibri" w:cs="Calibri"/>
                <w:sz w:val="16"/>
                <w:szCs w:val="16"/>
                <w:lang w:eastAsia="sk-SK"/>
              </w:rPr>
            </w:pPr>
            <w:hyperlink r:id="rId21" w:anchor="'poznamky_explanatory notes'!A1" w:history="1">
              <w:r>
                <w:rPr>
                  <w:rFonts w:ascii="Calibri" w:eastAsia="Times New Roman" w:hAnsi="Calibri" w:cs="Calibri"/>
                  <w:sz w:val="16"/>
                  <w:szCs w:val="16"/>
                  <w:lang w:eastAsia="sk-SK"/>
                </w:rPr>
                <w:t xml:space="preserve">OCA16. Anotácia výstupu v anglickom jazyku / Annotation of the output in English </w:t>
              </w:r>
              <w:r>
                <w:rPr>
                  <w:rFonts w:ascii="Calibri" w:eastAsia="Times New Roman" w:hAnsi="Calibri" w:cs="Calibri"/>
                  <w:sz w:val="16"/>
                  <w:szCs w:val="16"/>
                  <w:vertAlign w:val="superscript"/>
                  <w:lang w:eastAsia="sk-SK"/>
                </w:rPr>
                <w:t xml:space="preserve"> 9</w:t>
              </w:r>
              <w:r>
                <w:rPr>
                  <w:rFonts w:ascii="Calibri" w:eastAsia="Times New Roman" w:hAnsi="Calibri" w:cs="Calibri"/>
                  <w:sz w:val="16"/>
                  <w:szCs w:val="16"/>
                  <w:lang w:eastAsia="sk-SK"/>
                </w:rPr>
                <w:br w:type="page"/>
              </w:r>
              <w:r>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pPr>
              <w:rPr>
                <w:sz w:val="16"/>
                <w:szCs w:val="16"/>
                <w:lang w:val="en-GB"/>
              </w:rPr>
            </w:pPr>
            <w:r>
              <w:rPr>
                <w:sz w:val="16"/>
                <w:szCs w:val="16"/>
                <w:lang w:val="en-GB"/>
              </w:rPr>
              <w:t>The article deals with the education that spread human rights and its historical pathways on international level. It points at important events held on the board of United Nations and UNESCO, focusing on the Associated Schools Project Network and Salesians of Don Bosco. The last part gives another point of view on the Education of Human Rights – the International Youth organizations and its projects.</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pPr>
              <w:spacing w:after="0"/>
              <w:rPr>
                <w:rFonts w:eastAsia="SimSun" w:cstheme="minorHAnsi"/>
                <w:color w:val="212529"/>
                <w:sz w:val="16"/>
                <w:szCs w:val="16"/>
                <w:shd w:val="clear" w:color="auto" w:fill="FFFFFF"/>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Výstup sa zameriava na objasnenie dejín výchovy k ľudským právam, čím prispieva nielen k ujasneniu pojmov ale zdôrazňuje potrebu zaradenia tematiky ľudských práv do výchovného procesu detí a mládeže. Tým vytvára predpoklady pre stály rozvoj spoločnosti na základe hodnôt zakotvených vo Všeobecnej deklarácii ľudských práv. /</w:t>
            </w:r>
          </w:p>
          <w:p>
            <w:pPr>
              <w:pStyle w:val="PredformtovanHTML"/>
              <w:shd w:val="clear" w:color="auto" w:fill="F8F9FA"/>
              <w:rPr>
                <w:rFonts w:ascii="Calibri" w:hAnsi="Calibri" w:cs="Calibri"/>
                <w:color w:val="000000"/>
                <w:sz w:val="16"/>
                <w:szCs w:val="16"/>
                <w:lang w:val="en-GB"/>
              </w:rPr>
            </w:pPr>
            <w:r>
              <w:rPr>
                <w:rFonts w:ascii="Calibri" w:hAnsi="Calibri" w:cs="Calibri"/>
                <w:color w:val="000000"/>
                <w:sz w:val="16"/>
                <w:szCs w:val="16"/>
                <w:lang w:val="en-GB"/>
              </w:rPr>
              <w:t>The output focuses on clarifying the history of human rights education, which contributes not only to the clarification of concepts, but also emphasizes the need to include the topic of human rights in the educational process of children and youth. By doing so, it creates prerequisites for the constant development of society based on the values enshrined in the Universal Declaration of Human Rights.</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 xml:space="preserve">Výstup ukazuje na konkrétnych historických príkladoch ako sa vyvíjala problematika výchovy k ľudským právam. Tým vytvára motivačné predpoklady aby študenti pristupovali k riešeniu sociálnych problémov spojených s dodržiavaním ľudských práv v dlhodobom rozsahu. Obsah  výstupu je využíva niektoré poznatky aplikované v predmetoch: Etika v sociálnej práci, Teória sociálnej práce, Teória a základy sociálnej práce, Teória sociálnej práce, Metodológia výskumu v sociálnych vedách, Sociálna náuka cirkvi. </w:t>
            </w:r>
            <w:r>
              <w:rPr>
                <w:rFonts w:ascii="Calibri" w:hAnsi="Calibri"/>
                <w:color w:val="000000"/>
                <w:sz w:val="16"/>
                <w:szCs w:val="16"/>
              </w:rPr>
              <w:t xml:space="preserve">/ </w:t>
            </w:r>
            <w:r>
              <w:rPr>
                <w:rFonts w:ascii="Calibri" w:hAnsi="Calibri" w:cs="Calibri"/>
                <w:color w:val="000000"/>
                <w:sz w:val="16"/>
                <w:szCs w:val="16"/>
              </w:rPr>
              <w:t xml:space="preserve">/ </w:t>
            </w:r>
            <w:r>
              <w:rPr>
                <w:rFonts w:ascii="Calibri" w:hAnsi="Calibri" w:cs="Calibri"/>
                <w:color w:val="202124"/>
                <w:sz w:val="16"/>
                <w:szCs w:val="16"/>
                <w:shd w:val="clear" w:color="auto" w:fill="F8F9FA"/>
                <w:lang w:val="en-US"/>
              </w:rPr>
              <w:t>The output shows, using specific historical examples, how the issue of human rights education developed. It creates motivational prerequisites for students to approach the solution of social problems connected with the</w:t>
            </w:r>
            <w:r>
              <w:rPr>
                <w:rFonts w:ascii="Calibri" w:hAnsi="Calibri" w:cs="Calibri"/>
                <w:color w:val="202124"/>
                <w:sz w:val="16"/>
                <w:szCs w:val="16"/>
                <w:shd w:val="clear" w:color="auto" w:fill="F8F9FA"/>
                <w:lang w:val="en-GB"/>
              </w:rPr>
              <w:t xml:space="preserve"> observance of human rights in the long term. The content of the output uses some of the knowledge applied in the courses Ethics in Social Work, Theory of Social Work, Theory and Foundations of Social Work, Theory of Social Work, Research Methodology in Social Sciences, Social Doctrine of the Church.</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bl>
    <w:p/>
    <w:sectPr>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line="240" w:lineRule="auto"/>
      </w:pPr>
      <w:r>
        <w:separator/>
      </w:r>
    </w:p>
  </w:endnote>
  <w:endnote w:type="continuationSeparator" w:id="0">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angal">
    <w:altName w:val="IDAutomationHC39M"/>
    <w:panose1 w:val="00000400000000000000"/>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Liberation Serif">
    <w:altName w:val="SimSun"/>
    <w:charset w:val="86"/>
    <w:family w:val="auto"/>
    <w:pitch w:val="default"/>
    <w:sig w:usb0="E0000AFF" w:usb1="500078FF" w:usb2="00000021" w:usb3="00000000" w:csb0="600001BF" w:csb1="DFF7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pPr>
      <w:r>
        <w:separator/>
      </w:r>
    </w:p>
  </w:footnote>
  <w:footnote w:type="continuationSeparator" w:id="0">
    <w:p>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k-SK" w:eastAsia="zh-C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C3AE04-07A1-4AEA-93C8-0EB42F4A1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sa-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bidi="ar-SA"/>
    </w:rPr>
  </w:style>
  <w:style w:type="paragraph" w:styleId="Nadpis1">
    <w:name w:val="heading 1"/>
    <w:next w:val="Normlny"/>
    <w:uiPriority w:val="9"/>
    <w:qFormat/>
    <w:pPr>
      <w:spacing w:beforeAutospacing="1" w:afterAutospacing="1"/>
      <w:outlineLvl w:val="0"/>
    </w:pPr>
    <w:rPr>
      <w:rFonts w:ascii="SimSun" w:hAnsi="SimSun" w:cs="Mangal" w:hint="eastAsia"/>
      <w:b/>
      <w:bCs/>
      <w:kern w:val="44"/>
      <w:sz w:val="48"/>
      <w:szCs w:val="48"/>
      <w:lang w:val="en-US" w:eastAsia="zh-CN"/>
    </w:rPr>
  </w:style>
  <w:style w:type="paragraph" w:styleId="Nadpis2">
    <w:name w:val="heading 2"/>
    <w:basedOn w:val="Normlny"/>
    <w:next w:val="Normlny"/>
    <w:link w:val="Nadpis2Char"/>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bidi="ar-SA"/>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rFonts w:cs="Mangal"/>
      <w:sz w:val="24"/>
      <w:szCs w:val="24"/>
      <w:lang w:val="en-US" w:eastAsia="zh-CN"/>
    </w:rPr>
  </w:style>
  <w:style w:type="character" w:customStyle="1" w:styleId="UnresolvedMention">
    <w:name w:val="Unresolved Mention"/>
    <w:basedOn w:val="Predvolenpsmoodseku"/>
    <w:uiPriority w:val="99"/>
    <w:semiHidden/>
    <w:unhideWhenUsed/>
    <w:rPr>
      <w:color w:val="605E5C"/>
      <w:shd w:val="clear" w:color="auto" w:fill="E1DFDD"/>
    </w:rPr>
  </w:style>
  <w:style w:type="character" w:customStyle="1" w:styleId="Nadpis2Char">
    <w:name w:val="Nadpis 2 Char"/>
    <w:basedOn w:val="Predvolenpsmoodseku"/>
    <w:link w:val="Nadpis2"/>
    <w:uiPriority w:val="9"/>
    <w:semiHidden/>
    <w:rPr>
      <w:rFonts w:asciiTheme="majorHAnsi" w:eastAsiaTheme="majorEastAsia" w:hAnsiTheme="majorHAnsi" w:cstheme="majorBidi"/>
      <w:color w:val="2F5496" w:themeColor="accent1" w:themeShade="BF"/>
      <w:sz w:val="26"/>
      <w:szCs w:val="26"/>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5898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319"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1372</Words>
  <Characters>7827</Characters>
  <Application>Microsoft Office Word</Application>
  <DocSecurity>0</DocSecurity>
  <Lines>65</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Hardy Mária</cp:lastModifiedBy>
  <cp:revision>2</cp:revision>
  <dcterms:created xsi:type="dcterms:W3CDTF">2024-02-12T09:27:00Z</dcterms:created>
  <dcterms:modified xsi:type="dcterms:W3CDTF">2024-02-12T09:27:00Z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